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95476" w14:textId="77777777" w:rsidR="00627EA5" w:rsidRDefault="00627EA5" w:rsidP="00627EA5">
      <w:pPr>
        <w:pStyle w:val="Nagwek1"/>
        <w:spacing w:before="76"/>
        <w:ind w:left="0"/>
        <w:jc w:val="right"/>
      </w:pPr>
      <w:r>
        <w:t>ZAŁĄCZNIK NR 7 DO ZAPROSZENIA</w:t>
      </w:r>
    </w:p>
    <w:p w14:paraId="1D09F4CE" w14:textId="77777777" w:rsidR="00627EA5" w:rsidRDefault="00627EA5" w:rsidP="00627EA5">
      <w:pPr>
        <w:spacing w:before="183"/>
        <w:jc w:val="center"/>
        <w:rPr>
          <w:b/>
          <w:sz w:val="24"/>
        </w:rPr>
      </w:pPr>
      <w:bookmarkStart w:id="0" w:name="_Hlk139024683"/>
      <w:r>
        <w:rPr>
          <w:b/>
          <w:sz w:val="24"/>
        </w:rPr>
        <w:t>Klauzula informacyjna zgodna z Ogólnym Rozporządzeniem o Ochronie Danych Osobowych (skrót: RODO)</w:t>
      </w:r>
    </w:p>
    <w:p w14:paraId="220156AF" w14:textId="77777777" w:rsidR="00627EA5" w:rsidRDefault="00627EA5" w:rsidP="00627EA5">
      <w:pPr>
        <w:pStyle w:val="Tekstpodstawowy"/>
        <w:rPr>
          <w:b/>
        </w:rPr>
      </w:pPr>
    </w:p>
    <w:p w14:paraId="286734DE" w14:textId="77777777" w:rsidR="00627EA5" w:rsidRDefault="00627EA5" w:rsidP="00627EA5">
      <w:pPr>
        <w:jc w:val="both"/>
        <w:rPr>
          <w:b/>
          <w:sz w:val="24"/>
        </w:rPr>
      </w:pPr>
      <w:r>
        <w:rPr>
          <w:b/>
          <w:sz w:val="24"/>
        </w:rPr>
        <w:t xml:space="preserve">dot. przetwarzania danych osobowych w ramach postępowań </w:t>
      </w:r>
      <w:r w:rsidRPr="007749EF">
        <w:rPr>
          <w:b/>
          <w:sz w:val="24"/>
        </w:rPr>
        <w:t>realizowanych na podstawie Ustawy Prawo zamówień publicznych</w:t>
      </w:r>
      <w:r>
        <w:rPr>
          <w:b/>
          <w:sz w:val="24"/>
        </w:rPr>
        <w:t>, przeznaczona dla</w:t>
      </w:r>
      <w:r>
        <w:rPr>
          <w:b/>
          <w:spacing w:val="-18"/>
          <w:sz w:val="24"/>
        </w:rPr>
        <w:t xml:space="preserve"> </w:t>
      </w:r>
      <w:r>
        <w:rPr>
          <w:b/>
          <w:sz w:val="24"/>
        </w:rPr>
        <w:t>uczestnika postępowania prowadzonego przez spółkę Górnośląskie Przedsiębiorstwo Wodociągów</w:t>
      </w:r>
    </w:p>
    <w:p w14:paraId="1A63F275" w14:textId="77777777" w:rsidR="00627EA5" w:rsidRDefault="00627EA5" w:rsidP="00627EA5">
      <w:pPr>
        <w:rPr>
          <w:b/>
          <w:sz w:val="24"/>
        </w:rPr>
      </w:pPr>
      <w:r>
        <w:rPr>
          <w:b/>
          <w:sz w:val="24"/>
        </w:rPr>
        <w:t>S.A. z siedzibą w Katowicach</w:t>
      </w:r>
    </w:p>
    <w:p w14:paraId="075922C3" w14:textId="77777777" w:rsidR="00627EA5" w:rsidRDefault="00627EA5" w:rsidP="00627EA5">
      <w:pPr>
        <w:pStyle w:val="Tekstpodstawowy"/>
        <w:spacing w:before="4"/>
        <w:rPr>
          <w:b/>
          <w:sz w:val="37"/>
        </w:rPr>
      </w:pPr>
    </w:p>
    <w:p w14:paraId="0197456C" w14:textId="77777777" w:rsidR="00627EA5" w:rsidRDefault="00627EA5" w:rsidP="00627EA5">
      <w:pPr>
        <w:pStyle w:val="Tekstpodstawowy"/>
        <w:spacing w:before="1"/>
        <w:jc w:val="both"/>
      </w:pPr>
      <w:r>
        <w:t xml:space="preserve">Zgodnie z art. 13 ust. 1 i 2 Rozporządzenia Parlamentu Europejskiego i Rady (UE) 2016/679 </w:t>
      </w:r>
      <w:r>
        <w:br/>
        <w:t>z dnia 27 kwietnia 2016 r. w sprawie ochrony osób fizycznych w związku z przetwarzaniem danych osobowych i w sprawie swobodnego przepływu takich danych oraz uchylenia dyrektywy 95/46/WE (ogólne rozporządzenie o ochronie danych, Dz.U.UE.L.2016.119.1) informujemy,</w:t>
      </w:r>
      <w:r>
        <w:rPr>
          <w:spacing w:val="-1"/>
        </w:rPr>
        <w:t xml:space="preserve"> </w:t>
      </w:r>
      <w:r>
        <w:t>że:</w:t>
      </w:r>
    </w:p>
    <w:p w14:paraId="234EE4A7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</w:rPr>
      </w:pPr>
      <w:r>
        <w:rPr>
          <w:sz w:val="24"/>
        </w:rPr>
        <w:t xml:space="preserve">Administratorem Pani/Pana danych osobowych jest Górnośląskie Przedsiębiorstwo Wodociągów S.A. z siedzibą w Katowicach, ul. Wojewódzka 19, 40-026 Katowice;    tel.: +48 32 60 38 861; fax: +48 32 60 38 614; e-mail: </w:t>
      </w:r>
      <w:hyperlink r:id="rId7">
        <w:r>
          <w:rPr>
            <w:sz w:val="24"/>
          </w:rPr>
          <w:t>gpw@gpw.katowice.pl</w:t>
        </w:r>
      </w:hyperlink>
      <w:r>
        <w:rPr>
          <w:sz w:val="24"/>
        </w:rPr>
        <w:t xml:space="preserve"> (dalej: Administrator).</w:t>
      </w:r>
    </w:p>
    <w:p w14:paraId="24A698C9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</w:rPr>
      </w:pPr>
      <w:r>
        <w:rPr>
          <w:sz w:val="24"/>
        </w:rPr>
        <w:t>A</w:t>
      </w:r>
      <w:r w:rsidRPr="00305897">
        <w:rPr>
          <w:sz w:val="24"/>
        </w:rPr>
        <w:t>dministrator powołał Inspektora Ochrony Danych, jest nim Maciej Zaremba, kontakt: tel.:</w:t>
      </w:r>
      <w:r w:rsidRPr="00305897">
        <w:rPr>
          <w:spacing w:val="-14"/>
          <w:sz w:val="24"/>
        </w:rPr>
        <w:t xml:space="preserve"> </w:t>
      </w:r>
      <w:r w:rsidRPr="00305897">
        <w:rPr>
          <w:sz w:val="24"/>
        </w:rPr>
        <w:t>+48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505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981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042,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e-mail:</w:t>
      </w:r>
      <w:r w:rsidRPr="00305897">
        <w:rPr>
          <w:spacing w:val="-13"/>
          <w:sz w:val="24"/>
        </w:rPr>
        <w:t xml:space="preserve"> </w:t>
      </w:r>
      <w:hyperlink r:id="rId8">
        <w:r w:rsidRPr="00305897">
          <w:rPr>
            <w:sz w:val="24"/>
          </w:rPr>
          <w:t>iodo@gpw.katowice.pl</w:t>
        </w:r>
        <w:r w:rsidRPr="00305897">
          <w:rPr>
            <w:spacing w:val="-11"/>
            <w:sz w:val="24"/>
          </w:rPr>
          <w:t xml:space="preserve"> </w:t>
        </w:r>
      </w:hyperlink>
      <w:r w:rsidRPr="00305897">
        <w:rPr>
          <w:sz w:val="24"/>
        </w:rPr>
        <w:t>Inspektor</w:t>
      </w:r>
      <w:r w:rsidRPr="00305897">
        <w:rPr>
          <w:spacing w:val="-14"/>
          <w:sz w:val="24"/>
        </w:rPr>
        <w:t xml:space="preserve"> </w:t>
      </w:r>
      <w:r w:rsidRPr="00305897">
        <w:rPr>
          <w:sz w:val="24"/>
        </w:rPr>
        <w:t>jest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do</w:t>
      </w:r>
      <w:r w:rsidRPr="00305897">
        <w:rPr>
          <w:spacing w:val="-13"/>
          <w:sz w:val="24"/>
        </w:rPr>
        <w:t xml:space="preserve"> </w:t>
      </w:r>
      <w:r w:rsidRPr="00305897">
        <w:rPr>
          <w:sz w:val="24"/>
        </w:rPr>
        <w:t>Państwa</w:t>
      </w:r>
      <w:r w:rsidRPr="00305897">
        <w:rPr>
          <w:spacing w:val="-14"/>
          <w:sz w:val="24"/>
        </w:rPr>
        <w:t xml:space="preserve"> </w:t>
      </w:r>
      <w:r w:rsidRPr="00305897">
        <w:rPr>
          <w:sz w:val="24"/>
        </w:rPr>
        <w:t xml:space="preserve">dyspozycji </w:t>
      </w:r>
      <w:r>
        <w:rPr>
          <w:sz w:val="24"/>
        </w:rPr>
        <w:br/>
      </w:r>
      <w:r w:rsidRPr="00305897">
        <w:rPr>
          <w:sz w:val="24"/>
        </w:rPr>
        <w:t>w zakresie każdej kwestii czy wątpliwości dot. danych</w:t>
      </w:r>
      <w:r w:rsidRPr="00305897">
        <w:rPr>
          <w:spacing w:val="-5"/>
          <w:sz w:val="24"/>
        </w:rPr>
        <w:t xml:space="preserve"> </w:t>
      </w:r>
      <w:r w:rsidRPr="00305897">
        <w:rPr>
          <w:sz w:val="24"/>
        </w:rPr>
        <w:t>osobowych.</w:t>
      </w:r>
    </w:p>
    <w:p w14:paraId="26402C41" w14:textId="557BB8B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</w:rPr>
      </w:pPr>
      <w:r w:rsidRPr="00305897">
        <w:rPr>
          <w:sz w:val="24"/>
        </w:rPr>
        <w:t>Pani/Pana  dane  osobowe  będą  przetwarzane  w  celu  związanym  z  postępowaniem</w:t>
      </w:r>
      <w:r>
        <w:rPr>
          <w:sz w:val="24"/>
        </w:rPr>
        <w:br/>
      </w:r>
      <w:r w:rsidRPr="00305897">
        <w:rPr>
          <w:sz w:val="24"/>
        </w:rPr>
        <w:t xml:space="preserve"> o udzielenie zamówienia publicznego w trybie negocjacji pod nazwą: </w:t>
      </w:r>
      <w:r w:rsidRPr="00305897">
        <w:rPr>
          <w:b/>
          <w:sz w:val="24"/>
        </w:rPr>
        <w:t>„</w:t>
      </w:r>
      <w:r>
        <w:rPr>
          <w:b/>
          <w:sz w:val="24"/>
        </w:rPr>
        <w:t xml:space="preserve">SOC – Security Operation Center”, </w:t>
      </w:r>
      <w:r w:rsidRPr="008C5CD9">
        <w:t xml:space="preserve">Nr postępowania: </w:t>
      </w:r>
      <w:r w:rsidRPr="00256E85">
        <w:rPr>
          <w:b/>
          <w:bCs/>
        </w:rPr>
        <w:t>FZP/321/</w:t>
      </w:r>
      <w:r w:rsidR="00256E85" w:rsidRPr="00256E85">
        <w:rPr>
          <w:b/>
          <w:bCs/>
        </w:rPr>
        <w:t>35</w:t>
      </w:r>
      <w:r w:rsidRPr="00256E85">
        <w:rPr>
          <w:b/>
          <w:bCs/>
        </w:rPr>
        <w:t>/2023</w:t>
      </w:r>
    </w:p>
    <w:p w14:paraId="06EE718D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</w:rPr>
      </w:pPr>
      <w:r w:rsidRPr="00305897">
        <w:rPr>
          <w:sz w:val="24"/>
        </w:rPr>
        <w:t>Dane osobowe będą przetwarzane zgodnie z przepisami</w:t>
      </w:r>
      <w:r w:rsidRPr="00305897">
        <w:rPr>
          <w:spacing w:val="-5"/>
          <w:sz w:val="24"/>
        </w:rPr>
        <w:t xml:space="preserve"> </w:t>
      </w:r>
      <w:r w:rsidRPr="00305897">
        <w:rPr>
          <w:sz w:val="24"/>
        </w:rPr>
        <w:t>RODO:</w:t>
      </w:r>
    </w:p>
    <w:p w14:paraId="0486E556" w14:textId="77777777" w:rsidR="00627EA5" w:rsidRDefault="00627EA5" w:rsidP="00627EA5">
      <w:pPr>
        <w:pStyle w:val="Akapitzlist"/>
        <w:numPr>
          <w:ilvl w:val="0"/>
          <w:numId w:val="2"/>
        </w:numPr>
        <w:spacing w:before="159"/>
        <w:ind w:left="709"/>
        <w:rPr>
          <w:sz w:val="24"/>
        </w:rPr>
      </w:pPr>
      <w:r>
        <w:rPr>
          <w:sz w:val="24"/>
        </w:rPr>
        <w:t>w</w:t>
      </w:r>
      <w:r w:rsidRPr="00305897">
        <w:rPr>
          <w:sz w:val="24"/>
        </w:rPr>
        <w:t xml:space="preserve"> celu realizacji czynności/zadań/procedur dot. postępowania realizowanego na podstawie Ustawy Prawo zamówień publicznych, na podstawie art. 6 ust. 1 lit. c) RODO </w:t>
      </w:r>
    </w:p>
    <w:p w14:paraId="4618CB6D" w14:textId="77777777" w:rsidR="00627EA5" w:rsidRPr="00EB4ADA" w:rsidRDefault="00627EA5" w:rsidP="00627EA5">
      <w:pPr>
        <w:spacing w:before="159"/>
        <w:ind w:left="357"/>
        <w:jc w:val="both"/>
        <w:rPr>
          <w:sz w:val="24"/>
        </w:rPr>
      </w:pPr>
      <w:r w:rsidRPr="00EB4ADA">
        <w:rPr>
          <w:sz w:val="24"/>
        </w:rPr>
        <w:t xml:space="preserve">oraz zgodnie z powiązanymi powszechnie obowiązującymi przepisami prawa (gł. Ustawa z dnia 11 września 2019 r. Prawo zamówień publicznych, </w:t>
      </w:r>
      <w:proofErr w:type="spellStart"/>
      <w:r w:rsidRPr="00EB4ADA">
        <w:rPr>
          <w:sz w:val="24"/>
        </w:rPr>
        <w:t>t.j</w:t>
      </w:r>
      <w:proofErr w:type="spellEnd"/>
      <w:r w:rsidRPr="00EB4ADA">
        <w:rPr>
          <w:sz w:val="24"/>
        </w:rPr>
        <w:t xml:space="preserve">. Dz.U. z 2022 poz.1710, </w:t>
      </w:r>
      <w:r w:rsidRPr="00EB4ADA">
        <w:rPr>
          <w:sz w:val="24"/>
        </w:rPr>
        <w:br/>
        <w:t xml:space="preserve">z </w:t>
      </w:r>
      <w:proofErr w:type="spellStart"/>
      <w:r w:rsidRPr="00EB4ADA">
        <w:rPr>
          <w:sz w:val="24"/>
        </w:rPr>
        <w:t>późn</w:t>
      </w:r>
      <w:proofErr w:type="spellEnd"/>
      <w:r w:rsidRPr="00EB4ADA">
        <w:rPr>
          <w:sz w:val="24"/>
        </w:rPr>
        <w:t>. zmianami - dalej: Ustawa</w:t>
      </w:r>
      <w:r w:rsidRPr="00EB4ADA">
        <w:rPr>
          <w:spacing w:val="-1"/>
          <w:sz w:val="24"/>
        </w:rPr>
        <w:t xml:space="preserve"> </w:t>
      </w:r>
      <w:proofErr w:type="spellStart"/>
      <w:r w:rsidRPr="00EB4ADA">
        <w:rPr>
          <w:sz w:val="24"/>
        </w:rPr>
        <w:t>Pzp</w:t>
      </w:r>
      <w:proofErr w:type="spellEnd"/>
      <w:r w:rsidRPr="00EB4ADA">
        <w:rPr>
          <w:sz w:val="24"/>
        </w:rPr>
        <w:t>).</w:t>
      </w:r>
    </w:p>
    <w:p w14:paraId="4040F91D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</w:rPr>
      </w:pPr>
      <w:r w:rsidRPr="00305897">
        <w:rPr>
          <w:sz w:val="24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05897">
        <w:rPr>
          <w:sz w:val="24"/>
        </w:rPr>
        <w:t>Pzp</w:t>
      </w:r>
      <w:proofErr w:type="spellEnd"/>
      <w:r w:rsidRPr="00305897">
        <w:rPr>
          <w:sz w:val="24"/>
        </w:rPr>
        <w:t>, związanym z udziałem w postępowaniu o udzielenie zamówienia publicznego. Konsekwencje niepodania określonych danych wynikają z Ustawy</w:t>
      </w:r>
      <w:r w:rsidRPr="00305897">
        <w:rPr>
          <w:spacing w:val="-9"/>
          <w:sz w:val="24"/>
        </w:rPr>
        <w:t xml:space="preserve"> </w:t>
      </w:r>
      <w:proofErr w:type="spellStart"/>
      <w:r w:rsidRPr="00305897">
        <w:rPr>
          <w:sz w:val="24"/>
        </w:rPr>
        <w:t>Pzp</w:t>
      </w:r>
      <w:proofErr w:type="spellEnd"/>
      <w:r w:rsidRPr="00305897">
        <w:rPr>
          <w:sz w:val="24"/>
        </w:rPr>
        <w:t>.</w:t>
      </w:r>
    </w:p>
    <w:p w14:paraId="17A1ADE5" w14:textId="77777777" w:rsidR="00627EA5" w:rsidRDefault="00627EA5" w:rsidP="00627EA5">
      <w:pPr>
        <w:pStyle w:val="Akapitzlist"/>
        <w:numPr>
          <w:ilvl w:val="0"/>
          <w:numId w:val="1"/>
        </w:numPr>
        <w:ind w:left="357" w:hanging="357"/>
        <w:rPr>
          <w:sz w:val="24"/>
        </w:rPr>
      </w:pPr>
      <w:r w:rsidRPr="00305897">
        <w:rPr>
          <w:sz w:val="24"/>
        </w:rPr>
        <w:t>Odbiorcami Pani/Pana danych osobowych mogą być:</w:t>
      </w:r>
    </w:p>
    <w:p w14:paraId="3098F44C" w14:textId="77777777" w:rsidR="00627EA5" w:rsidRDefault="00627EA5" w:rsidP="00627EA5">
      <w:pPr>
        <w:pStyle w:val="Akapitzlist"/>
        <w:spacing w:before="0"/>
        <w:ind w:left="357" w:firstLine="0"/>
        <w:rPr>
          <w:sz w:val="24"/>
        </w:rPr>
      </w:pPr>
      <w:r w:rsidRPr="00C96F29">
        <w:rPr>
          <w:sz w:val="24"/>
        </w:rPr>
        <w:t xml:space="preserve">osoby/podmioty, którym udostępniona zostanie dokumentacja postępowania w oparciu </w:t>
      </w:r>
      <w:r>
        <w:rPr>
          <w:sz w:val="24"/>
        </w:rPr>
        <w:br/>
      </w:r>
      <w:r w:rsidRPr="00C96F29">
        <w:rPr>
          <w:sz w:val="24"/>
        </w:rPr>
        <w:t xml:space="preserve">o art. 18 ust. 1 Ustawy </w:t>
      </w:r>
      <w:proofErr w:type="spellStart"/>
      <w:r w:rsidRPr="00C96F29">
        <w:rPr>
          <w:sz w:val="24"/>
        </w:rPr>
        <w:t>Pzp</w:t>
      </w:r>
      <w:proofErr w:type="spellEnd"/>
      <w:r w:rsidRPr="00C96F29">
        <w:rPr>
          <w:sz w:val="24"/>
        </w:rPr>
        <w:t xml:space="preserve"> i/lub zewnętrzna kancelaria prawna, i/lub operator pocztowy </w:t>
      </w:r>
      <w:r>
        <w:rPr>
          <w:sz w:val="24"/>
        </w:rPr>
        <w:br/>
      </w:r>
      <w:r w:rsidRPr="00C96F29">
        <w:rPr>
          <w:sz w:val="24"/>
        </w:rPr>
        <w:t xml:space="preserve">w rozumieniu ustawy z dnia 23 listopada 2012 r. Prawo pocztowe (Dz.U. z 2022 poz.896 </w:t>
      </w:r>
      <w:proofErr w:type="spellStart"/>
      <w:r w:rsidRPr="00C96F29">
        <w:rPr>
          <w:sz w:val="24"/>
        </w:rPr>
        <w:t>t.j</w:t>
      </w:r>
      <w:proofErr w:type="spellEnd"/>
      <w:r w:rsidRPr="00C96F29">
        <w:rPr>
          <w:sz w:val="24"/>
        </w:rPr>
        <w:t>.), i/lub posłaniec (kurier) dostarczający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korespondencję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na</w:t>
      </w:r>
      <w:r w:rsidRPr="00C96F29">
        <w:rPr>
          <w:spacing w:val="-7"/>
          <w:sz w:val="24"/>
        </w:rPr>
        <w:t xml:space="preserve"> </w:t>
      </w:r>
      <w:r w:rsidRPr="00C96F29">
        <w:rPr>
          <w:sz w:val="24"/>
        </w:rPr>
        <w:t>zasadach</w:t>
      </w:r>
      <w:r w:rsidRPr="00C96F29">
        <w:rPr>
          <w:spacing w:val="-7"/>
          <w:sz w:val="24"/>
        </w:rPr>
        <w:t xml:space="preserve"> </w:t>
      </w:r>
      <w:r w:rsidRPr="00C96F29">
        <w:rPr>
          <w:sz w:val="24"/>
        </w:rPr>
        <w:t>określonych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w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art.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65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ust.</w:t>
      </w:r>
      <w:r w:rsidRPr="00C96F29">
        <w:rPr>
          <w:spacing w:val="-8"/>
          <w:sz w:val="24"/>
        </w:rPr>
        <w:t xml:space="preserve"> </w:t>
      </w:r>
      <w:r w:rsidRPr="00C96F29">
        <w:rPr>
          <w:sz w:val="24"/>
        </w:rPr>
        <w:t>2,</w:t>
      </w:r>
      <w:r w:rsidRPr="00C96F29">
        <w:rPr>
          <w:spacing w:val="-8"/>
          <w:sz w:val="24"/>
        </w:rPr>
        <w:t xml:space="preserve"> </w:t>
      </w:r>
      <w:r w:rsidRPr="00C96F29">
        <w:rPr>
          <w:sz w:val="24"/>
        </w:rPr>
        <w:t>401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ust.</w:t>
      </w:r>
      <w:r w:rsidRPr="00C96F29">
        <w:rPr>
          <w:spacing w:val="-8"/>
          <w:sz w:val="24"/>
        </w:rPr>
        <w:t xml:space="preserve"> </w:t>
      </w:r>
      <w:r w:rsidRPr="00C96F29">
        <w:rPr>
          <w:sz w:val="24"/>
        </w:rPr>
        <w:t>1,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508</w:t>
      </w:r>
      <w:r w:rsidRPr="00C96F29">
        <w:rPr>
          <w:spacing w:val="-9"/>
          <w:sz w:val="24"/>
        </w:rPr>
        <w:t xml:space="preserve"> </w:t>
      </w:r>
      <w:r w:rsidRPr="00C96F29">
        <w:rPr>
          <w:sz w:val="24"/>
        </w:rPr>
        <w:t>ust.</w:t>
      </w:r>
      <w:r>
        <w:rPr>
          <w:sz w:val="24"/>
        </w:rPr>
        <w:t xml:space="preserve"> 2 Ustawy </w:t>
      </w:r>
      <w:proofErr w:type="spellStart"/>
      <w:r>
        <w:rPr>
          <w:sz w:val="24"/>
        </w:rPr>
        <w:t>Pzp</w:t>
      </w:r>
      <w:proofErr w:type="spellEnd"/>
      <w:r>
        <w:rPr>
          <w:sz w:val="24"/>
        </w:rPr>
        <w:t>.</w:t>
      </w:r>
    </w:p>
    <w:p w14:paraId="76E0D3BC" w14:textId="77777777" w:rsidR="00627EA5" w:rsidRDefault="00627EA5" w:rsidP="00627EA5">
      <w:pPr>
        <w:pStyle w:val="Akapitzlist"/>
        <w:spacing w:before="0"/>
        <w:ind w:left="357" w:firstLine="0"/>
        <w:rPr>
          <w:sz w:val="24"/>
          <w:szCs w:val="24"/>
        </w:rPr>
      </w:pPr>
      <w:r w:rsidRPr="00C626E6">
        <w:rPr>
          <w:sz w:val="24"/>
          <w:szCs w:val="24"/>
        </w:rPr>
        <w:t xml:space="preserve">Pani/Pana dane osobowe mogą zostać powierzone do przetwarzania zewnętrznemu podmiotowi dostarczającemu (realizującemu) usługi teleinformatyczne i/lub narzędzia/urządzenia komunikacji elektronicznej. </w:t>
      </w:r>
    </w:p>
    <w:p w14:paraId="2A27C21E" w14:textId="77777777" w:rsidR="00627EA5" w:rsidRPr="004B23D1" w:rsidRDefault="00627EA5" w:rsidP="00627EA5">
      <w:pPr>
        <w:pStyle w:val="Akapitzlist"/>
        <w:spacing w:before="0"/>
        <w:ind w:left="357" w:firstLine="0"/>
        <w:rPr>
          <w:sz w:val="24"/>
          <w:szCs w:val="24"/>
        </w:rPr>
      </w:pPr>
      <w:r w:rsidRPr="00C626E6">
        <w:rPr>
          <w:sz w:val="24"/>
          <w:szCs w:val="24"/>
        </w:rPr>
        <w:t xml:space="preserve">Ponadto Pani/Pana dane osobowe mogą zostać przekazane </w:t>
      </w:r>
      <w:r w:rsidRPr="004B23D1">
        <w:t>podmiotom/organom/instytucjo</w:t>
      </w:r>
      <w:r>
        <w:t xml:space="preserve">m </w:t>
      </w:r>
      <w:r w:rsidRPr="0021293B">
        <w:rPr>
          <w:sz w:val="24"/>
          <w:szCs w:val="24"/>
        </w:rPr>
        <w:t>państwowym w przypadkach wynikających z obowiązujących przepisów prawa.</w:t>
      </w:r>
    </w:p>
    <w:p w14:paraId="524EC540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lastRenderedPageBreak/>
        <w:t>Administrator przechowuje protokół postępowania wraz z załącznikami przez okres 4 lat od dnia zakończenia postępowania o udzielenie zamówienia (w sposób</w:t>
      </w:r>
      <w:r w:rsidRPr="00DB3788">
        <w:rPr>
          <w:spacing w:val="-29"/>
          <w:sz w:val="24"/>
        </w:rPr>
        <w:t xml:space="preserve"> </w:t>
      </w:r>
      <w:r w:rsidRPr="00DB3788">
        <w:rPr>
          <w:sz w:val="24"/>
        </w:rPr>
        <w:t>gwarantujący jego nienaruszalność). Jeżeli okres obowiązywania umowy w sprawie zamówienia publicznego przekracza 4 lata, Administrator przechowuje protokół postępowania wraz z załącznikami przez cały okres obowiązywania umowy w sprawie zamówienia publicznego.</w:t>
      </w:r>
      <w:r>
        <w:rPr>
          <w:spacing w:val="-7"/>
          <w:sz w:val="24"/>
        </w:rPr>
        <w:t xml:space="preserve"> </w:t>
      </w:r>
      <w:r w:rsidRPr="00DB3788">
        <w:rPr>
          <w:sz w:val="24"/>
        </w:rPr>
        <w:t>Administrator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przechowuje</w:t>
      </w:r>
      <w:r w:rsidRPr="00DB3788">
        <w:rPr>
          <w:spacing w:val="-8"/>
          <w:sz w:val="24"/>
        </w:rPr>
        <w:t xml:space="preserve"> </w:t>
      </w:r>
      <w:r w:rsidRPr="00DB3788">
        <w:rPr>
          <w:sz w:val="24"/>
        </w:rPr>
        <w:t>dokumentację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konkursu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przez</w:t>
      </w:r>
      <w:r w:rsidRPr="00DB3788">
        <w:rPr>
          <w:spacing w:val="-8"/>
          <w:sz w:val="24"/>
        </w:rPr>
        <w:t xml:space="preserve"> </w:t>
      </w:r>
      <w:r w:rsidRPr="00DB3788">
        <w:rPr>
          <w:sz w:val="24"/>
        </w:rPr>
        <w:t>okres</w:t>
      </w:r>
      <w:r w:rsidRPr="00DB3788">
        <w:rPr>
          <w:spacing w:val="-6"/>
          <w:sz w:val="24"/>
        </w:rPr>
        <w:t xml:space="preserve"> </w:t>
      </w:r>
      <w:r w:rsidRPr="00DB3788">
        <w:rPr>
          <w:sz w:val="24"/>
        </w:rPr>
        <w:t>4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lat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od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dnia ustalenia wyników konkursu w postaci, w jakiej została ona sporządzona lub przekazana, w sposób gwarantujący jej nienaruszalność i możliwość odczytania zgodnie z Ustawą</w:t>
      </w:r>
      <w:r w:rsidRPr="00DB3788">
        <w:rPr>
          <w:spacing w:val="-32"/>
          <w:sz w:val="24"/>
        </w:rPr>
        <w:t xml:space="preserve"> </w:t>
      </w:r>
      <w:proofErr w:type="spellStart"/>
      <w:r w:rsidRPr="00DB3788">
        <w:rPr>
          <w:sz w:val="24"/>
        </w:rPr>
        <w:t>Pzp</w:t>
      </w:r>
      <w:proofErr w:type="spellEnd"/>
      <w:r w:rsidRPr="00DB3788">
        <w:rPr>
          <w:sz w:val="24"/>
        </w:rPr>
        <w:t xml:space="preserve"> (art. 78 ust.1 i ust.4, art. 358 ust.1).</w:t>
      </w:r>
    </w:p>
    <w:p w14:paraId="32F2059D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>Zebrane od Pana/Pani dane osobowe nie będą przekazywane do podmiotów poza Unią Europejską lub Europejskim Obszarem</w:t>
      </w:r>
      <w:r w:rsidRPr="00DB3788">
        <w:rPr>
          <w:spacing w:val="-1"/>
          <w:sz w:val="24"/>
        </w:rPr>
        <w:t xml:space="preserve"> </w:t>
      </w:r>
      <w:r w:rsidRPr="00DB3788">
        <w:rPr>
          <w:sz w:val="24"/>
        </w:rPr>
        <w:t>Gospodarczym.</w:t>
      </w:r>
    </w:p>
    <w:p w14:paraId="09CE17F4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 xml:space="preserve">Posiada Pani/Pan prawo dostępu do treści swoich danych (i otrzymania ich kopii), prawo ich sprostowania (poprawienia), usunięcia (w sytuacji, gdy przetwarzanie danych nie następuje w celu wywiązania się z obowiązku wynikającego z przepisu prawa/nie wywołuje kolizji z innymi obowiązującymi przepisami prawa) oraz ograniczenia przetwarzania (o ile jest to zasadne/nie wywołuje kolizji z innymi obowiązującymi przepisami prawa). Zakres każdego z powyższych praw oraz sytuacje, w których można z nich skorzystać, wynikają </w:t>
      </w:r>
      <w:r>
        <w:rPr>
          <w:sz w:val="24"/>
        </w:rPr>
        <w:br/>
      </w:r>
      <w:r w:rsidRPr="00DB3788">
        <w:rPr>
          <w:sz w:val="24"/>
        </w:rPr>
        <w:t>z przepisów RODO oraz innych obowiązujących przepisów prawa.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Z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powyższych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praw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może</w:t>
      </w:r>
      <w:r w:rsidRPr="00DB3788">
        <w:rPr>
          <w:spacing w:val="-18"/>
          <w:sz w:val="24"/>
        </w:rPr>
        <w:t xml:space="preserve"> </w:t>
      </w:r>
      <w:r w:rsidRPr="00DB3788">
        <w:rPr>
          <w:sz w:val="24"/>
        </w:rPr>
        <w:t>Pani/Pan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skorzystać</w:t>
      </w:r>
      <w:r w:rsidRPr="00DB3788">
        <w:rPr>
          <w:spacing w:val="-19"/>
          <w:sz w:val="24"/>
        </w:rPr>
        <w:t xml:space="preserve"> </w:t>
      </w:r>
      <w:r w:rsidRPr="00DB3788">
        <w:rPr>
          <w:sz w:val="24"/>
        </w:rPr>
        <w:t>składając</w:t>
      </w:r>
      <w:r w:rsidRPr="00DB3788">
        <w:rPr>
          <w:spacing w:val="-18"/>
          <w:sz w:val="24"/>
        </w:rPr>
        <w:t xml:space="preserve"> </w:t>
      </w:r>
      <w:r w:rsidRPr="00DB3788">
        <w:rPr>
          <w:sz w:val="24"/>
        </w:rPr>
        <w:t>wniosek</w:t>
      </w:r>
      <w:r w:rsidRPr="00DB3788">
        <w:rPr>
          <w:spacing w:val="-15"/>
          <w:sz w:val="24"/>
        </w:rPr>
        <w:t xml:space="preserve"> </w:t>
      </w:r>
      <w:r w:rsidRPr="00DB3788">
        <w:rPr>
          <w:sz w:val="24"/>
        </w:rPr>
        <w:t>u</w:t>
      </w:r>
      <w:r w:rsidRPr="00DB3788">
        <w:rPr>
          <w:spacing w:val="2"/>
          <w:sz w:val="24"/>
        </w:rPr>
        <w:t xml:space="preserve"> </w:t>
      </w:r>
      <w:r w:rsidRPr="00DB3788">
        <w:rPr>
          <w:sz w:val="24"/>
        </w:rPr>
        <w:t xml:space="preserve">Administratora. Dodatkowych informacji </w:t>
      </w:r>
      <w:r>
        <w:rPr>
          <w:sz w:val="24"/>
        </w:rPr>
        <w:br/>
      </w:r>
      <w:r w:rsidRPr="00DB3788">
        <w:rPr>
          <w:sz w:val="24"/>
        </w:rPr>
        <w:t>i pomocy w zakresie realizacji powyższych praw udzieli wskazany powyżej Inspektor Ochrony Danych.</w:t>
      </w:r>
    </w:p>
    <w:p w14:paraId="42799CCB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>Ma Pani/Pan prawo wniesienia skargi do Prezesa Urzędu Ochrony Danych Osobowych, gdy uzna Pani/Pan, iż przetwarzanie danych osobowych Pani/Pana dotyczących narusza przepisy</w:t>
      </w:r>
      <w:r w:rsidRPr="00DB3788">
        <w:rPr>
          <w:spacing w:val="-1"/>
          <w:sz w:val="24"/>
        </w:rPr>
        <w:t xml:space="preserve"> </w:t>
      </w:r>
      <w:r w:rsidRPr="00DB3788">
        <w:rPr>
          <w:sz w:val="24"/>
        </w:rPr>
        <w:t>RODO.</w:t>
      </w:r>
    </w:p>
    <w:p w14:paraId="4E80F794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>Podane</w:t>
      </w:r>
      <w:r w:rsidRPr="00DB3788">
        <w:rPr>
          <w:spacing w:val="-8"/>
          <w:sz w:val="24"/>
        </w:rPr>
        <w:t xml:space="preserve"> </w:t>
      </w:r>
      <w:r w:rsidRPr="00DB3788">
        <w:rPr>
          <w:sz w:val="24"/>
        </w:rPr>
        <w:t>przez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Panią/Pana</w:t>
      </w:r>
      <w:r w:rsidRPr="00DB3788">
        <w:rPr>
          <w:spacing w:val="-8"/>
          <w:sz w:val="24"/>
        </w:rPr>
        <w:t xml:space="preserve"> </w:t>
      </w:r>
      <w:r w:rsidRPr="00DB3788">
        <w:rPr>
          <w:sz w:val="24"/>
        </w:rPr>
        <w:t>dane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osobowe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nie</w:t>
      </w:r>
      <w:r w:rsidRPr="00DB3788">
        <w:rPr>
          <w:spacing w:val="-8"/>
          <w:sz w:val="24"/>
        </w:rPr>
        <w:t xml:space="preserve"> </w:t>
      </w:r>
      <w:r w:rsidRPr="00DB3788">
        <w:rPr>
          <w:sz w:val="24"/>
        </w:rPr>
        <w:t>będą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podlegały</w:t>
      </w:r>
      <w:r w:rsidRPr="00DB3788">
        <w:rPr>
          <w:spacing w:val="-7"/>
          <w:sz w:val="24"/>
        </w:rPr>
        <w:t xml:space="preserve"> </w:t>
      </w:r>
      <w:r w:rsidRPr="00DB3788">
        <w:rPr>
          <w:sz w:val="24"/>
        </w:rPr>
        <w:t>zautomatyzowanym</w:t>
      </w:r>
      <w:r w:rsidRPr="00DB3788">
        <w:rPr>
          <w:spacing w:val="-6"/>
          <w:sz w:val="24"/>
        </w:rPr>
        <w:t xml:space="preserve"> </w:t>
      </w:r>
      <w:r w:rsidRPr="00DB3788">
        <w:rPr>
          <w:sz w:val="24"/>
        </w:rPr>
        <w:t xml:space="preserve">procesom podejmowania decyzji, w tym profilowaniu [np. zbieraniu i analizowaniu jednostkowych informacji o indywidualnej osobie uczestniczącej w postępowaniu na podstawie jej/jego </w:t>
      </w:r>
      <w:proofErr w:type="spellStart"/>
      <w:r w:rsidRPr="00DB3788">
        <w:rPr>
          <w:sz w:val="24"/>
        </w:rPr>
        <w:t>zachowań</w:t>
      </w:r>
      <w:proofErr w:type="spellEnd"/>
      <w:r w:rsidRPr="00DB3788">
        <w:rPr>
          <w:sz w:val="24"/>
        </w:rPr>
        <w:t xml:space="preserve"> zw. z korzystaniem z internetowych (cyfrowych) usług Administratora </w:t>
      </w:r>
      <w:r>
        <w:rPr>
          <w:sz w:val="24"/>
        </w:rPr>
        <w:br/>
      </w:r>
      <w:r w:rsidRPr="00DB3788">
        <w:rPr>
          <w:sz w:val="24"/>
        </w:rPr>
        <w:t>i tworzeniu na tej podstawie np. prognozy</w:t>
      </w:r>
      <w:r w:rsidRPr="00DB3788">
        <w:rPr>
          <w:spacing w:val="-1"/>
          <w:sz w:val="24"/>
        </w:rPr>
        <w:t xml:space="preserve"> </w:t>
      </w:r>
      <w:proofErr w:type="spellStart"/>
      <w:r w:rsidRPr="00DB3788">
        <w:rPr>
          <w:sz w:val="24"/>
        </w:rPr>
        <w:t>zachowań</w:t>
      </w:r>
      <w:proofErr w:type="spellEnd"/>
      <w:r>
        <w:rPr>
          <w:sz w:val="24"/>
        </w:rPr>
        <w:t>]</w:t>
      </w:r>
      <w:r w:rsidRPr="00DB3788">
        <w:rPr>
          <w:sz w:val="24"/>
        </w:rPr>
        <w:t>.</w:t>
      </w:r>
    </w:p>
    <w:p w14:paraId="44A6CED1" w14:textId="77777777" w:rsidR="00627EA5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 xml:space="preserve">Jednocześnie Administrator przypomina o ciążącym na Pani/Panu obowiązku informacyjnym wynikającym z art. 14 RODO względem osób fizycznych, których dane mogą zostać przekazane Administratorowi w związku z prowadzonym postępowaniem </w:t>
      </w:r>
      <w:r>
        <w:rPr>
          <w:sz w:val="24"/>
        </w:rPr>
        <w:br/>
      </w:r>
      <w:r w:rsidRPr="00DB3788">
        <w:rPr>
          <w:sz w:val="24"/>
        </w:rPr>
        <w:t>i które Administrator pośrednio pozyska od uczestnika biorącego udział w</w:t>
      </w:r>
      <w:r w:rsidRPr="00DB3788">
        <w:rPr>
          <w:spacing w:val="-3"/>
          <w:sz w:val="24"/>
        </w:rPr>
        <w:t xml:space="preserve"> </w:t>
      </w:r>
      <w:r w:rsidRPr="00DB3788">
        <w:rPr>
          <w:sz w:val="24"/>
        </w:rPr>
        <w:t>postępowaniu,</w:t>
      </w:r>
      <w:r w:rsidRPr="00DB3788">
        <w:rPr>
          <w:spacing w:val="-15"/>
          <w:sz w:val="24"/>
        </w:rPr>
        <w:t xml:space="preserve"> </w:t>
      </w:r>
      <w:r w:rsidRPr="00DB3788">
        <w:rPr>
          <w:sz w:val="24"/>
        </w:rPr>
        <w:t>chyba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że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ma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zastosowanie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co</w:t>
      </w:r>
      <w:r w:rsidRPr="00DB3788">
        <w:rPr>
          <w:spacing w:val="-14"/>
          <w:sz w:val="24"/>
        </w:rPr>
        <w:t xml:space="preserve"> </w:t>
      </w:r>
      <w:r w:rsidRPr="00DB3788">
        <w:rPr>
          <w:sz w:val="24"/>
        </w:rPr>
        <w:t>najmniej</w:t>
      </w:r>
      <w:r w:rsidRPr="00DB3788">
        <w:rPr>
          <w:spacing w:val="-15"/>
          <w:sz w:val="24"/>
        </w:rPr>
        <w:t xml:space="preserve"> </w:t>
      </w:r>
      <w:r w:rsidRPr="00DB3788">
        <w:rPr>
          <w:sz w:val="24"/>
        </w:rPr>
        <w:t>jedno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z</w:t>
      </w:r>
      <w:r w:rsidRPr="00DB3788">
        <w:rPr>
          <w:spacing w:val="-17"/>
          <w:sz w:val="24"/>
        </w:rPr>
        <w:t xml:space="preserve"> </w:t>
      </w:r>
      <w:r w:rsidRPr="00DB3788">
        <w:rPr>
          <w:sz w:val="24"/>
        </w:rPr>
        <w:t>wyłączeń,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o</w:t>
      </w:r>
      <w:r w:rsidRPr="00DB3788">
        <w:rPr>
          <w:spacing w:val="-14"/>
          <w:sz w:val="24"/>
        </w:rPr>
        <w:t xml:space="preserve"> </w:t>
      </w:r>
      <w:r w:rsidRPr="00DB3788">
        <w:rPr>
          <w:sz w:val="24"/>
        </w:rPr>
        <w:t>których</w:t>
      </w:r>
      <w:r w:rsidRPr="00DB3788">
        <w:rPr>
          <w:spacing w:val="-16"/>
          <w:sz w:val="24"/>
        </w:rPr>
        <w:t xml:space="preserve"> </w:t>
      </w:r>
      <w:r w:rsidRPr="00DB3788">
        <w:rPr>
          <w:sz w:val="24"/>
        </w:rPr>
        <w:t>mowa w art. 14 ust.5</w:t>
      </w:r>
      <w:r w:rsidRPr="00DB3788">
        <w:rPr>
          <w:spacing w:val="-2"/>
          <w:sz w:val="24"/>
        </w:rPr>
        <w:t xml:space="preserve"> </w:t>
      </w:r>
      <w:r w:rsidRPr="00DB3788">
        <w:rPr>
          <w:sz w:val="24"/>
        </w:rPr>
        <w:t>RODO.</w:t>
      </w:r>
    </w:p>
    <w:p w14:paraId="4E5910E6" w14:textId="77777777" w:rsidR="00627EA5" w:rsidRPr="00AE49D1" w:rsidRDefault="00627EA5" w:rsidP="00627EA5">
      <w:pPr>
        <w:pStyle w:val="Akapitzlist"/>
        <w:numPr>
          <w:ilvl w:val="0"/>
          <w:numId w:val="1"/>
        </w:numPr>
        <w:spacing w:before="159"/>
        <w:ind w:left="357" w:hanging="357"/>
        <w:rPr>
          <w:sz w:val="24"/>
          <w:szCs w:val="24"/>
        </w:rPr>
      </w:pPr>
      <w:r w:rsidRPr="00DB3788">
        <w:rPr>
          <w:sz w:val="24"/>
        </w:rPr>
        <w:t>Najbardziej aktualne informacje dotyczące przetwarzania Pani/Pana danych osobowych są dostępne na stronie internetowej Administratora pod adresem:</w:t>
      </w:r>
      <w:r w:rsidRPr="00DB3788">
        <w:rPr>
          <w:color w:val="0000FF"/>
          <w:sz w:val="24"/>
          <w:u w:val="single" w:color="0000FF"/>
        </w:rPr>
        <w:t xml:space="preserve"> </w:t>
      </w:r>
      <w:hyperlink r:id="rId9">
        <w:r w:rsidRPr="00DB3788">
          <w:rPr>
            <w:color w:val="0000FF"/>
            <w:sz w:val="24"/>
            <w:u w:val="single" w:color="0000FF"/>
          </w:rPr>
          <w:t>www.gpw.katowice.pl/rodo.php</w:t>
        </w:r>
      </w:hyperlink>
      <w:bookmarkEnd w:id="0"/>
    </w:p>
    <w:p w14:paraId="49EA33C0" w14:textId="77777777" w:rsidR="00627EA5" w:rsidRDefault="00627EA5" w:rsidP="00627EA5">
      <w:pPr>
        <w:pStyle w:val="Akapitzlist"/>
        <w:spacing w:before="159"/>
        <w:ind w:left="357" w:firstLine="0"/>
        <w:rPr>
          <w:color w:val="0000FF"/>
          <w:sz w:val="24"/>
          <w:u w:val="single" w:color="0000FF"/>
        </w:rPr>
      </w:pPr>
    </w:p>
    <w:p w14:paraId="38D031AE" w14:textId="77777777" w:rsidR="00627EA5" w:rsidRPr="00AE49D1" w:rsidRDefault="00627EA5" w:rsidP="00627EA5">
      <w:pPr>
        <w:pStyle w:val="Akapitzlist"/>
        <w:spacing w:before="159"/>
        <w:ind w:left="357" w:firstLine="0"/>
        <w:jc w:val="center"/>
        <w:rPr>
          <w:sz w:val="23"/>
          <w:szCs w:val="23"/>
        </w:rPr>
      </w:pPr>
      <w:r w:rsidRPr="00AE49D1">
        <w:rPr>
          <w:sz w:val="23"/>
          <w:szCs w:val="23"/>
        </w:rPr>
        <w:t>Potwierdzam przyjęcie do wiadomości</w:t>
      </w:r>
    </w:p>
    <w:p w14:paraId="260EAD64" w14:textId="77777777" w:rsidR="00627EA5" w:rsidRDefault="00627EA5" w:rsidP="00627EA5">
      <w:pPr>
        <w:pStyle w:val="Akapitzlist"/>
        <w:spacing w:before="0"/>
        <w:ind w:left="357" w:firstLine="0"/>
        <w:jc w:val="center"/>
        <w:rPr>
          <w:sz w:val="16"/>
          <w:szCs w:val="16"/>
        </w:rPr>
      </w:pPr>
    </w:p>
    <w:p w14:paraId="1C1E8C41" w14:textId="77777777" w:rsidR="00627EA5" w:rsidRDefault="00627EA5" w:rsidP="00627EA5">
      <w:pPr>
        <w:pStyle w:val="Akapitzlist"/>
        <w:spacing w:before="0"/>
        <w:ind w:left="357" w:firstLine="0"/>
        <w:jc w:val="center"/>
        <w:rPr>
          <w:sz w:val="16"/>
          <w:szCs w:val="16"/>
        </w:rPr>
      </w:pPr>
    </w:p>
    <w:p w14:paraId="5AF7528F" w14:textId="77777777" w:rsidR="00627EA5" w:rsidRDefault="00627EA5" w:rsidP="00627EA5">
      <w:pPr>
        <w:pStyle w:val="Akapitzlist"/>
        <w:spacing w:before="0"/>
        <w:ind w:left="357" w:firstLine="0"/>
        <w:jc w:val="center"/>
        <w:rPr>
          <w:sz w:val="16"/>
          <w:szCs w:val="16"/>
        </w:rPr>
      </w:pPr>
    </w:p>
    <w:p w14:paraId="5D271396" w14:textId="77777777" w:rsidR="00627EA5" w:rsidRPr="00AE49D1" w:rsidRDefault="00627EA5" w:rsidP="00627EA5">
      <w:pPr>
        <w:pStyle w:val="Akapitzlist"/>
        <w:spacing w:before="0"/>
        <w:ind w:left="357" w:firstLine="0"/>
        <w:jc w:val="center"/>
        <w:rPr>
          <w:sz w:val="16"/>
          <w:szCs w:val="16"/>
        </w:rPr>
      </w:pPr>
      <w:r>
        <w:rPr>
          <w:sz w:val="16"/>
          <w:szCs w:val="16"/>
        </w:rPr>
        <w:t>………………</w:t>
      </w:r>
      <w:r w:rsidRPr="00AE49D1">
        <w:rPr>
          <w:sz w:val="16"/>
          <w:szCs w:val="16"/>
        </w:rPr>
        <w:t>………………………………………..</w:t>
      </w:r>
    </w:p>
    <w:p w14:paraId="3F2740F4" w14:textId="77777777" w:rsidR="00627EA5" w:rsidRPr="00AE49D1" w:rsidRDefault="00627EA5" w:rsidP="00627EA5">
      <w:pPr>
        <w:pStyle w:val="Akapitzlist"/>
        <w:spacing w:before="0"/>
        <w:ind w:left="357" w:firstLine="0"/>
        <w:jc w:val="center"/>
        <w:rPr>
          <w:sz w:val="16"/>
          <w:szCs w:val="16"/>
        </w:rPr>
      </w:pPr>
      <w:r w:rsidRPr="00AE49D1">
        <w:rPr>
          <w:sz w:val="16"/>
          <w:szCs w:val="16"/>
        </w:rPr>
        <w:t>(miejsce, data, czytelny podpis)</w:t>
      </w:r>
    </w:p>
    <w:p w14:paraId="7ACC844A" w14:textId="77777777" w:rsidR="008779AA" w:rsidRDefault="008779AA"/>
    <w:sectPr w:rsidR="008779AA" w:rsidSect="00EC66B8">
      <w:footnotePr>
        <w:numRestart w:val="eachSect"/>
      </w:footnotePr>
      <w:type w:val="continuous"/>
      <w:pgSz w:w="11910" w:h="16840"/>
      <w:pgMar w:top="1320" w:right="1418" w:bottom="1179" w:left="1418" w:header="0" w:footer="98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9D0116" w14:textId="77777777" w:rsidR="007F50B3" w:rsidRDefault="007F50B3" w:rsidP="00627EA5">
      <w:r>
        <w:separator/>
      </w:r>
    </w:p>
  </w:endnote>
  <w:endnote w:type="continuationSeparator" w:id="0">
    <w:p w14:paraId="1951D0A9" w14:textId="77777777" w:rsidR="007F50B3" w:rsidRDefault="007F50B3" w:rsidP="00627E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6C777" w14:textId="77777777" w:rsidR="007F50B3" w:rsidRDefault="007F50B3" w:rsidP="00627EA5">
      <w:r>
        <w:separator/>
      </w:r>
    </w:p>
  </w:footnote>
  <w:footnote w:type="continuationSeparator" w:id="0">
    <w:p w14:paraId="34A3F2AA" w14:textId="77777777" w:rsidR="007F50B3" w:rsidRDefault="007F50B3" w:rsidP="00627E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58B45D30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44856208"/>
    <w:multiLevelType w:val="hybridMultilevel"/>
    <w:tmpl w:val="0E064746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61B9390E"/>
    <w:multiLevelType w:val="multilevel"/>
    <w:tmpl w:val="F89063F2"/>
    <w:lvl w:ilvl="0">
      <w:start w:val="1"/>
      <w:numFmt w:val="decimal"/>
      <w:lvlText w:val="%1"/>
      <w:lvlJc w:val="left"/>
      <w:pPr>
        <w:ind w:left="1964" w:hanging="72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9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64" w:hanging="720"/>
      </w:pPr>
      <w:rPr>
        <w:rFonts w:ascii="Times New Roman" w:eastAsia="Times New Roman" w:hAnsi="Times New Roman" w:cs="Times New Roman" w:hint="default"/>
        <w:spacing w:val="-8"/>
        <w:w w:val="99"/>
        <w:sz w:val="24"/>
        <w:szCs w:val="24"/>
      </w:rPr>
    </w:lvl>
    <w:lvl w:ilvl="3">
      <w:numFmt w:val="bullet"/>
      <w:lvlText w:val="•"/>
      <w:lvlJc w:val="left"/>
      <w:pPr>
        <w:ind w:left="4475" w:hanging="720"/>
      </w:pPr>
      <w:rPr>
        <w:rFonts w:hint="default"/>
      </w:rPr>
    </w:lvl>
    <w:lvl w:ilvl="4">
      <w:numFmt w:val="bullet"/>
      <w:lvlText w:val="•"/>
      <w:lvlJc w:val="left"/>
      <w:pPr>
        <w:ind w:left="5314" w:hanging="720"/>
      </w:pPr>
      <w:rPr>
        <w:rFonts w:hint="default"/>
      </w:rPr>
    </w:lvl>
    <w:lvl w:ilvl="5">
      <w:numFmt w:val="bullet"/>
      <w:lvlText w:val="•"/>
      <w:lvlJc w:val="left"/>
      <w:pPr>
        <w:ind w:left="6153" w:hanging="720"/>
      </w:pPr>
      <w:rPr>
        <w:rFonts w:hint="default"/>
      </w:rPr>
    </w:lvl>
    <w:lvl w:ilvl="6">
      <w:numFmt w:val="bullet"/>
      <w:lvlText w:val="•"/>
      <w:lvlJc w:val="left"/>
      <w:pPr>
        <w:ind w:left="6991" w:hanging="720"/>
      </w:pPr>
      <w:rPr>
        <w:rFonts w:hint="default"/>
      </w:rPr>
    </w:lvl>
    <w:lvl w:ilvl="7">
      <w:numFmt w:val="bullet"/>
      <w:lvlText w:val="•"/>
      <w:lvlJc w:val="left"/>
      <w:pPr>
        <w:ind w:left="7830" w:hanging="720"/>
      </w:pPr>
      <w:rPr>
        <w:rFonts w:hint="default"/>
      </w:rPr>
    </w:lvl>
    <w:lvl w:ilvl="8">
      <w:numFmt w:val="bullet"/>
      <w:lvlText w:val="•"/>
      <w:lvlJc w:val="left"/>
      <w:pPr>
        <w:ind w:left="8669" w:hanging="720"/>
      </w:pPr>
      <w:rPr>
        <w:rFonts w:hint="default"/>
      </w:rPr>
    </w:lvl>
  </w:abstractNum>
  <w:num w:numId="1" w16cid:durableId="255020114">
    <w:abstractNumId w:val="2"/>
  </w:num>
  <w:num w:numId="2" w16cid:durableId="352654981">
    <w:abstractNumId w:val="1"/>
  </w:num>
  <w:num w:numId="3" w16cid:durableId="63425902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7EA5"/>
    <w:rsid w:val="002505CB"/>
    <w:rsid w:val="00256E85"/>
    <w:rsid w:val="00627EA5"/>
    <w:rsid w:val="007F50B3"/>
    <w:rsid w:val="008779AA"/>
    <w:rsid w:val="009875FC"/>
    <w:rsid w:val="00C73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98AFE1"/>
  <w15:chartTrackingRefBased/>
  <w15:docId w15:val="{1413C09C-7A76-484B-9EE5-7D45A0C05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27EA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Nagwek1">
    <w:name w:val="heading 1"/>
    <w:basedOn w:val="Normalny"/>
    <w:link w:val="Nagwek1Znak"/>
    <w:uiPriority w:val="9"/>
    <w:qFormat/>
    <w:rsid w:val="00627EA5"/>
    <w:pPr>
      <w:ind w:left="536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link w:val="Nagwek2Znak"/>
    <w:uiPriority w:val="9"/>
    <w:unhideWhenUsed/>
    <w:qFormat/>
    <w:rsid w:val="00627EA5"/>
    <w:pPr>
      <w:spacing w:before="1"/>
      <w:ind w:left="536"/>
      <w:outlineLvl w:val="1"/>
    </w:pPr>
    <w:rPr>
      <w:b/>
      <w:bCs/>
      <w:i/>
      <w:sz w:val="24"/>
      <w:szCs w:val="24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27E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627EA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627EA5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627EA5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627EA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627EA5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627EA5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27EA5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Nagwek2Znak">
    <w:name w:val="Nagłówek 2 Znak"/>
    <w:basedOn w:val="Domylnaczcionkaakapitu"/>
    <w:link w:val="Nagwek2"/>
    <w:uiPriority w:val="9"/>
    <w:rsid w:val="00627EA5"/>
    <w:rPr>
      <w:rFonts w:ascii="Times New Roman" w:eastAsia="Times New Roman" w:hAnsi="Times New Roman" w:cs="Times New Roman"/>
      <w:b/>
      <w:bCs/>
      <w:i/>
      <w:kern w:val="0"/>
      <w:sz w:val="24"/>
      <w:szCs w:val="24"/>
      <w14:ligatures w14:val="none"/>
    </w:rPr>
  </w:style>
  <w:style w:type="character" w:customStyle="1" w:styleId="Nagwek3Znak">
    <w:name w:val="Nagłówek 3 Znak"/>
    <w:basedOn w:val="Domylnaczcionkaakapitu"/>
    <w:link w:val="Nagwek3"/>
    <w:uiPriority w:val="9"/>
    <w:rsid w:val="00627EA5"/>
    <w:rPr>
      <w:rFonts w:asciiTheme="majorHAnsi" w:eastAsiaTheme="majorEastAsia" w:hAnsiTheme="majorHAnsi" w:cstheme="majorBidi"/>
      <w:color w:val="1F3763" w:themeColor="accent1" w:themeShade="7F"/>
      <w:kern w:val="0"/>
      <w:sz w:val="24"/>
      <w:szCs w:val="24"/>
      <w14:ligatures w14:val="none"/>
    </w:rPr>
  </w:style>
  <w:style w:type="character" w:customStyle="1" w:styleId="Nagwek4Znak">
    <w:name w:val="Nagłówek 4 Znak"/>
    <w:basedOn w:val="Domylnaczcionkaakapitu"/>
    <w:link w:val="Nagwek4"/>
    <w:uiPriority w:val="9"/>
    <w:rsid w:val="00627EA5"/>
    <w:rPr>
      <w:rFonts w:asciiTheme="majorHAnsi" w:eastAsiaTheme="majorEastAsia" w:hAnsiTheme="majorHAnsi" w:cstheme="majorBidi"/>
      <w:i/>
      <w:iCs/>
      <w:color w:val="2F5496" w:themeColor="accent1" w:themeShade="BF"/>
      <w:kern w:val="0"/>
      <w14:ligatures w14:val="none"/>
    </w:rPr>
  </w:style>
  <w:style w:type="character" w:customStyle="1" w:styleId="Nagwek5Znak">
    <w:name w:val="Nagłówek 5 Znak"/>
    <w:basedOn w:val="Domylnaczcionkaakapitu"/>
    <w:link w:val="Nagwek5"/>
    <w:uiPriority w:val="9"/>
    <w:rsid w:val="00627EA5"/>
    <w:rPr>
      <w:rFonts w:asciiTheme="majorHAnsi" w:eastAsiaTheme="majorEastAsia" w:hAnsiTheme="majorHAnsi" w:cstheme="majorBidi"/>
      <w:color w:val="2F5496" w:themeColor="accent1" w:themeShade="BF"/>
      <w:kern w:val="0"/>
      <w14:ligatures w14:val="none"/>
    </w:rPr>
  </w:style>
  <w:style w:type="character" w:customStyle="1" w:styleId="Nagwek6Znak">
    <w:name w:val="Nagłówek 6 Znak"/>
    <w:basedOn w:val="Domylnaczcionkaakapitu"/>
    <w:link w:val="Nagwek6"/>
    <w:uiPriority w:val="9"/>
    <w:rsid w:val="00627EA5"/>
    <w:rPr>
      <w:rFonts w:asciiTheme="majorHAnsi" w:eastAsiaTheme="majorEastAsia" w:hAnsiTheme="majorHAnsi" w:cstheme="majorBidi"/>
      <w:color w:val="1F3763" w:themeColor="accent1" w:themeShade="7F"/>
      <w:kern w:val="0"/>
      <w14:ligatures w14:val="none"/>
    </w:rPr>
  </w:style>
  <w:style w:type="character" w:customStyle="1" w:styleId="Nagwek7Znak">
    <w:name w:val="Nagłówek 7 Znak"/>
    <w:basedOn w:val="Domylnaczcionkaakapitu"/>
    <w:link w:val="Nagwek7"/>
    <w:uiPriority w:val="9"/>
    <w:rsid w:val="00627EA5"/>
    <w:rPr>
      <w:rFonts w:asciiTheme="majorHAnsi" w:eastAsiaTheme="majorEastAsia" w:hAnsiTheme="majorHAnsi" w:cstheme="majorBidi"/>
      <w:i/>
      <w:iCs/>
      <w:color w:val="1F3763" w:themeColor="accent1" w:themeShade="7F"/>
      <w:kern w:val="0"/>
      <w14:ligatures w14:val="none"/>
    </w:rPr>
  </w:style>
  <w:style w:type="character" w:customStyle="1" w:styleId="Nagwek8Znak">
    <w:name w:val="Nagłówek 8 Znak"/>
    <w:basedOn w:val="Domylnaczcionkaakapitu"/>
    <w:link w:val="Nagwek8"/>
    <w:uiPriority w:val="9"/>
    <w:rsid w:val="00627EA5"/>
    <w:rPr>
      <w:rFonts w:asciiTheme="majorHAnsi" w:eastAsiaTheme="majorEastAsia" w:hAnsiTheme="majorHAnsi" w:cstheme="majorBidi"/>
      <w:color w:val="272727" w:themeColor="text1" w:themeTint="D8"/>
      <w:kern w:val="0"/>
      <w:sz w:val="21"/>
      <w:szCs w:val="21"/>
      <w14:ligatures w14:val="none"/>
    </w:rPr>
  </w:style>
  <w:style w:type="character" w:customStyle="1" w:styleId="Nagwek9Znak">
    <w:name w:val="Nagłówek 9 Znak"/>
    <w:basedOn w:val="Domylnaczcionkaakapitu"/>
    <w:link w:val="Nagwek9"/>
    <w:uiPriority w:val="9"/>
    <w:rsid w:val="00627EA5"/>
    <w:rPr>
      <w:rFonts w:asciiTheme="majorHAnsi" w:eastAsiaTheme="majorEastAsia" w:hAnsiTheme="majorHAnsi" w:cstheme="majorBidi"/>
      <w:i/>
      <w:iCs/>
      <w:color w:val="272727" w:themeColor="text1" w:themeTint="D8"/>
      <w:kern w:val="0"/>
      <w:sz w:val="21"/>
      <w:szCs w:val="21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627E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627EA5"/>
    <w:rPr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627EA5"/>
    <w:rPr>
      <w:rFonts w:ascii="Times New Roman" w:eastAsia="Times New Roman" w:hAnsi="Times New Roman" w:cs="Times New Roman"/>
      <w:kern w:val="0"/>
      <w:sz w:val="24"/>
      <w:szCs w:val="24"/>
      <w14:ligatures w14:val="none"/>
    </w:rPr>
  </w:style>
  <w:style w:type="paragraph" w:styleId="Akapitzlist">
    <w:name w:val="List Paragraph"/>
    <w:aliases w:val="Liste à puces retrait droite,Kolorowa lista — akcent 11,List Paragraph,WYPUNKTOWANIE Akapit z listą,Nagłowek 3,Numerowanie,L1,Preambuła,Akapit z listą BS,Dot pt,F5 List Paragraph,Recommendation,List Paragraph11,lp1,maz_wyliczenie,CW_Lista"/>
    <w:basedOn w:val="Normalny"/>
    <w:link w:val="AkapitzlistZnak"/>
    <w:uiPriority w:val="34"/>
    <w:qFormat/>
    <w:rsid w:val="00627EA5"/>
    <w:pPr>
      <w:spacing w:before="120"/>
      <w:ind w:left="1388" w:hanging="425"/>
      <w:jc w:val="both"/>
    </w:pPr>
  </w:style>
  <w:style w:type="paragraph" w:customStyle="1" w:styleId="TableParagraph">
    <w:name w:val="Table Paragraph"/>
    <w:basedOn w:val="Normalny"/>
    <w:uiPriority w:val="1"/>
    <w:qFormat/>
    <w:rsid w:val="00627EA5"/>
  </w:style>
  <w:style w:type="character" w:styleId="Hipercze">
    <w:name w:val="Hyperlink"/>
    <w:basedOn w:val="Domylnaczcionkaakapitu"/>
    <w:uiPriority w:val="99"/>
    <w:unhideWhenUsed/>
    <w:rsid w:val="00627EA5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27EA5"/>
    <w:rPr>
      <w:color w:val="605E5C"/>
      <w:shd w:val="clear" w:color="auto" w:fill="E1DFDD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27EA5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27EA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27EA5"/>
    <w:rPr>
      <w:vertAlign w:val="superscript"/>
    </w:rPr>
  </w:style>
  <w:style w:type="table" w:styleId="Tabela-Siatka">
    <w:name w:val="Table Grid"/>
    <w:basedOn w:val="Standardowy"/>
    <w:uiPriority w:val="39"/>
    <w:rsid w:val="00627EA5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627EA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27EA5"/>
    <w:rPr>
      <w:rFonts w:ascii="Times New Roman" w:eastAsia="Times New Roman" w:hAnsi="Times New Roman" w:cs="Times New Roman"/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627EA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627EA5"/>
    <w:rPr>
      <w:rFonts w:ascii="Times New Roman" w:eastAsia="Times New Roman" w:hAnsi="Times New Roman" w:cs="Times New Roman"/>
      <w:kern w:val="0"/>
      <w14:ligatures w14:val="non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27E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27EA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27EA5"/>
    <w:rPr>
      <w:rFonts w:ascii="Times New Roman" w:eastAsia="Times New Roman" w:hAnsi="Times New Roman" w:cs="Times New Roman"/>
      <w:kern w:val="0"/>
      <w:sz w:val="20"/>
      <w:szCs w:val="20"/>
      <w14:ligatures w14:val="none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27E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27EA5"/>
    <w:rPr>
      <w:rFonts w:ascii="Times New Roman" w:eastAsia="Times New Roman" w:hAnsi="Times New Roman" w:cs="Times New Roman"/>
      <w:b/>
      <w:bCs/>
      <w:kern w:val="0"/>
      <w:sz w:val="20"/>
      <w:szCs w:val="20"/>
      <w14:ligatures w14:val="none"/>
    </w:rPr>
  </w:style>
  <w:style w:type="paragraph" w:styleId="NormalnyWeb">
    <w:name w:val="Normal (Web)"/>
    <w:basedOn w:val="Normalny"/>
    <w:uiPriority w:val="99"/>
    <w:semiHidden/>
    <w:unhideWhenUsed/>
    <w:rsid w:val="00627EA5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pl-PL"/>
    </w:rPr>
  </w:style>
  <w:style w:type="character" w:customStyle="1" w:styleId="AkapitzlistZnak">
    <w:name w:val="Akapit z listą Znak"/>
    <w:aliases w:val="Liste à puces retrait droite Znak,Kolorowa lista — akcent 11 Znak,List Paragraph Znak,WYPUNKTOWANIE Akapit z listą Znak,Nagłowek 3 Znak,Numerowanie Znak,L1 Znak,Preambuła Znak,Akapit z listą BS Znak,Dot pt Znak,F5 List Paragraph Znak"/>
    <w:link w:val="Akapitzlist"/>
    <w:uiPriority w:val="34"/>
    <w:qFormat/>
    <w:rsid w:val="00627EA5"/>
    <w:rPr>
      <w:rFonts w:ascii="Times New Roman" w:eastAsia="Times New Roman" w:hAnsi="Times New Roman" w:cs="Times New Roman"/>
      <w:kern w:val="0"/>
      <w14:ligatures w14:val="none"/>
    </w:rPr>
  </w:style>
  <w:style w:type="paragraph" w:customStyle="1" w:styleId="Default">
    <w:name w:val="Default"/>
    <w:qFormat/>
    <w:rsid w:val="00627EA5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eastAsia="pl-PL"/>
      <w14:ligatures w14:val="none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627EA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627EA5"/>
    <w:rPr>
      <w:rFonts w:ascii="Times New Roman" w:eastAsia="Times New Roman" w:hAnsi="Times New Roman" w:cs="Times New Roman"/>
      <w:kern w:val="0"/>
      <w14:ligatures w14:val="none"/>
    </w:rPr>
  </w:style>
  <w:style w:type="paragraph" w:styleId="Lista">
    <w:name w:val="List"/>
    <w:basedOn w:val="Normalny"/>
    <w:rsid w:val="00627EA5"/>
    <w:pPr>
      <w:widowControl/>
      <w:autoSpaceDE/>
      <w:autoSpaceDN/>
      <w:ind w:left="283" w:hanging="283"/>
    </w:pPr>
    <w:rPr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627EA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27EA5"/>
    <w:rPr>
      <w:rFonts w:ascii="Times New Roman" w:eastAsia="Times New Roman" w:hAnsi="Times New Roman" w:cs="Times New Roman"/>
      <w:kern w:val="0"/>
      <w14:ligatures w14:val="none"/>
    </w:rPr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27EA5"/>
    <w:pPr>
      <w:spacing w:after="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27EA5"/>
    <w:rPr>
      <w:rFonts w:ascii="Times New Roman" w:eastAsia="Times New Roman" w:hAnsi="Times New Roman" w:cs="Times New Roman"/>
      <w:kern w:val="0"/>
      <w14:ligatures w14:val="none"/>
    </w:rPr>
  </w:style>
  <w:style w:type="character" w:styleId="Pogrubienie">
    <w:name w:val="Strong"/>
    <w:basedOn w:val="Domylnaczcionkaakapitu"/>
    <w:uiPriority w:val="22"/>
    <w:qFormat/>
    <w:rsid w:val="00627EA5"/>
    <w:rPr>
      <w:b/>
      <w:bCs/>
    </w:rPr>
  </w:style>
  <w:style w:type="paragraph" w:styleId="Poprawka">
    <w:name w:val="Revision"/>
    <w:hidden/>
    <w:uiPriority w:val="99"/>
    <w:semiHidden/>
    <w:rsid w:val="00627EA5"/>
    <w:pPr>
      <w:spacing w:after="0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paragraph" w:styleId="Lista2">
    <w:name w:val="List 2"/>
    <w:basedOn w:val="Normalny"/>
    <w:uiPriority w:val="99"/>
    <w:unhideWhenUsed/>
    <w:rsid w:val="00627EA5"/>
    <w:pPr>
      <w:ind w:left="566" w:hanging="283"/>
      <w:contextualSpacing/>
    </w:pPr>
  </w:style>
  <w:style w:type="paragraph" w:styleId="Lista3">
    <w:name w:val="List 3"/>
    <w:basedOn w:val="Normalny"/>
    <w:uiPriority w:val="99"/>
    <w:unhideWhenUsed/>
    <w:rsid w:val="00627EA5"/>
    <w:pPr>
      <w:ind w:left="849" w:hanging="283"/>
      <w:contextualSpacing/>
    </w:pPr>
  </w:style>
  <w:style w:type="paragraph" w:styleId="Lista4">
    <w:name w:val="List 4"/>
    <w:basedOn w:val="Normalny"/>
    <w:uiPriority w:val="99"/>
    <w:unhideWhenUsed/>
    <w:rsid w:val="00627EA5"/>
    <w:pPr>
      <w:ind w:left="1132" w:hanging="283"/>
      <w:contextualSpacing/>
    </w:pPr>
  </w:style>
  <w:style w:type="paragraph" w:styleId="Listapunktowana2">
    <w:name w:val="List Bullet 2"/>
    <w:basedOn w:val="Normalny"/>
    <w:uiPriority w:val="99"/>
    <w:unhideWhenUsed/>
    <w:rsid w:val="00627EA5"/>
    <w:pPr>
      <w:numPr>
        <w:numId w:val="3"/>
      </w:numPr>
      <w:contextualSpacing/>
    </w:pPr>
  </w:style>
  <w:style w:type="paragraph" w:styleId="Lista-kontynuacja">
    <w:name w:val="List Continue"/>
    <w:basedOn w:val="Normalny"/>
    <w:uiPriority w:val="99"/>
    <w:unhideWhenUsed/>
    <w:rsid w:val="00627EA5"/>
    <w:pPr>
      <w:spacing w:after="120"/>
      <w:ind w:left="283"/>
      <w:contextualSpacing/>
    </w:pPr>
  </w:style>
  <w:style w:type="paragraph" w:styleId="Legenda">
    <w:name w:val="caption"/>
    <w:basedOn w:val="Normalny"/>
    <w:next w:val="Normalny"/>
    <w:uiPriority w:val="35"/>
    <w:unhideWhenUsed/>
    <w:qFormat/>
    <w:rsid w:val="00627EA5"/>
    <w:pPr>
      <w:spacing w:after="200"/>
    </w:pPr>
    <w:rPr>
      <w:i/>
      <w:iCs/>
      <w:color w:val="44546A" w:themeColor="text2"/>
      <w:sz w:val="18"/>
      <w:szCs w:val="18"/>
    </w:rPr>
  </w:style>
  <w:style w:type="paragraph" w:styleId="Tytu">
    <w:name w:val="Title"/>
    <w:basedOn w:val="Normalny"/>
    <w:next w:val="Normalny"/>
    <w:link w:val="TytuZnak"/>
    <w:uiPriority w:val="10"/>
    <w:qFormat/>
    <w:rsid w:val="00627EA5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7EA5"/>
    <w:rPr>
      <w:rFonts w:asciiTheme="majorHAnsi" w:eastAsiaTheme="majorEastAsia" w:hAnsiTheme="majorHAnsi" w:cstheme="majorBidi"/>
      <w:spacing w:val="-10"/>
      <w:kern w:val="28"/>
      <w:sz w:val="56"/>
      <w:szCs w:val="56"/>
      <w14:ligatures w14:val="non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627EA5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627EA5"/>
    <w:rPr>
      <w:rFonts w:eastAsiaTheme="minorEastAsia"/>
      <w:color w:val="5A5A5A" w:themeColor="text1" w:themeTint="A5"/>
      <w:spacing w:val="15"/>
      <w:kern w:val="0"/>
      <w14:ligatures w14:val="none"/>
    </w:rPr>
  </w:style>
  <w:style w:type="paragraph" w:styleId="Nagweknotatki">
    <w:name w:val="Note Heading"/>
    <w:basedOn w:val="Normalny"/>
    <w:next w:val="Normalny"/>
    <w:link w:val="NagweknotatkiZnak"/>
    <w:uiPriority w:val="99"/>
    <w:unhideWhenUsed/>
    <w:rsid w:val="00627EA5"/>
  </w:style>
  <w:style w:type="character" w:customStyle="1" w:styleId="NagweknotatkiZnak">
    <w:name w:val="Nagłówek notatki Znak"/>
    <w:basedOn w:val="Domylnaczcionkaakapitu"/>
    <w:link w:val="Nagweknotatki"/>
    <w:uiPriority w:val="99"/>
    <w:rsid w:val="00627EA5"/>
    <w:rPr>
      <w:rFonts w:ascii="Times New Roman" w:eastAsia="Times New Roman" w:hAnsi="Times New Roman" w:cs="Times New Roman"/>
      <w:kern w:val="0"/>
      <w14:ligatures w14:val="none"/>
    </w:rPr>
  </w:style>
  <w:style w:type="character" w:styleId="Uwydatnienie">
    <w:name w:val="Emphasis"/>
    <w:uiPriority w:val="20"/>
    <w:qFormat/>
    <w:rsid w:val="00627EA5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27EA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o@gpw.katowice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gpw@gpw.katowice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gpw.katowice.pl/rodo.php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853</Words>
  <Characters>5118</Characters>
  <Application>Microsoft Office Word</Application>
  <DocSecurity>0</DocSecurity>
  <Lines>42</Lines>
  <Paragraphs>11</Paragraphs>
  <ScaleCrop>false</ScaleCrop>
  <Company/>
  <LinksUpToDate>false</LinksUpToDate>
  <CharactersWithSpaces>5960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Rataj</dc:creator>
  <cp:keywords/>
  <dc:description/>
  <cp:lastModifiedBy>Marek Rataj</cp:lastModifiedBy>
  <cp:revision>3</cp:revision>
  <dcterms:created xsi:type="dcterms:W3CDTF">2023-08-18T09:27:00Z</dcterms:created>
  <dcterms:modified xsi:type="dcterms:W3CDTF">2023-08-28T08:49:00Z</dcterms:modified>
</cp:coreProperties>
</file>